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A5" w:rsidRPr="006C26FF" w:rsidRDefault="00C40FA5" w:rsidP="00C40FA5">
      <w:pPr>
        <w:ind w:firstLine="482"/>
        <w:jc w:val="left"/>
        <w:rPr>
          <w:rFonts w:ascii="宋体" w:hAnsi="宋体" w:cs="Times New Roman"/>
          <w:b/>
        </w:rPr>
      </w:pPr>
      <w:r w:rsidRPr="006C26FF">
        <w:rPr>
          <w:rFonts w:ascii="宋体" w:hAnsi="宋体" w:cs="Times New Roman"/>
          <w:b/>
        </w:rPr>
        <w:t>研究生课程教学文件评价表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707"/>
        <w:gridCol w:w="743"/>
        <w:gridCol w:w="502"/>
        <w:gridCol w:w="502"/>
        <w:gridCol w:w="502"/>
        <w:gridCol w:w="491"/>
      </w:tblGrid>
      <w:tr w:rsidR="00C40FA5" w:rsidRPr="006C26FF" w:rsidTr="00137686">
        <w:trPr>
          <w:trHeight w:val="13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707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评价指标</w:t>
            </w:r>
          </w:p>
        </w:tc>
        <w:tc>
          <w:tcPr>
            <w:tcW w:w="743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A</w:t>
            </w: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B</w:t>
            </w: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C</w:t>
            </w:r>
          </w:p>
        </w:tc>
        <w:tc>
          <w:tcPr>
            <w:tcW w:w="491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D</w:t>
            </w:r>
          </w:p>
        </w:tc>
      </w:tr>
      <w:tr w:rsidR="00C40FA5" w:rsidRPr="006C26FF" w:rsidTr="00137686">
        <w:trPr>
          <w:trHeight w:val="409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《教学大纲》内容完备，覆盖课程教学中设置的基本要素，指定了教学使用的教材或参考资料、参考文献。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60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《教学大纲》对学术型和应用型等不同培养类别的研究生，体现出个性化的教学特点。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40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5707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《教学大纲》在学院规定的五年使用期限内，及时提交了更新说明。</w:t>
            </w:r>
          </w:p>
        </w:tc>
        <w:tc>
          <w:tcPr>
            <w:tcW w:w="743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277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《教学大纲》按照学院统一格式制定。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选择的教材与《教学大纲》中设定的课程目标相契合。</w:t>
            </w:r>
          </w:p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*课程涉及领域尚无合适教材：课程负责人为该课程指定了20篇以上能基本覆盖该课程领域的参考资料和文献，包含介绍课程相关领域研究现状的综述性质资料。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91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教材、参考资料和文献兼具科学性、权威性、前沿性，具有较高的参考价值。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31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授课教师完成《</w:t>
            </w:r>
            <w:r w:rsidRPr="006C26FF">
              <w:rPr>
                <w:rFonts w:ascii="宋体" w:hAnsi="宋体" w:cs="Times New Roman"/>
                <w:sz w:val="21"/>
                <w:szCs w:val="21"/>
                <w:u w:val="single"/>
              </w:rPr>
              <w:t>××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>课程教材与参考资料选择自评报告》。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8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教材的更新与该领域知识的更新同步。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296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9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指定的参考资料和文献中，有一定比例的最新参考资料和文献，并做到定期更新。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37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10</w:t>
            </w:r>
          </w:p>
        </w:tc>
        <w:tc>
          <w:tcPr>
            <w:tcW w:w="5707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《教学日历》严格遵照《教学大纲》设计教学进度，与指定教材内容紧密结合。其中章节名称完整，课程内容详尽，主次分明，重点突出。体现工学硕士和全日制工程硕士教学安排上的区别。</w:t>
            </w:r>
            <w:proofErr w:type="gramStart"/>
            <w:r w:rsidRPr="006C26FF">
              <w:rPr>
                <w:rFonts w:ascii="宋体" w:hAnsi="宋体" w:cs="Times New Roman"/>
                <w:sz w:val="21"/>
                <w:szCs w:val="21"/>
              </w:rPr>
              <w:t>结课部分</w:t>
            </w:r>
            <w:proofErr w:type="gramEnd"/>
            <w:r w:rsidRPr="006C26FF">
              <w:rPr>
                <w:rFonts w:ascii="宋体" w:hAnsi="宋体" w:cs="Times New Roman"/>
                <w:sz w:val="21"/>
                <w:szCs w:val="21"/>
              </w:rPr>
              <w:t>安排了课程总结、讨论和答疑等内容。</w:t>
            </w:r>
          </w:p>
        </w:tc>
        <w:tc>
          <w:tcPr>
            <w:tcW w:w="743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726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11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《教学日历》遵照校历的时间安排教学进度，同时以《教学大纲》为制定依据，随之更新。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461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12</w:t>
            </w:r>
          </w:p>
        </w:tc>
        <w:tc>
          <w:tcPr>
            <w:tcW w:w="5707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《教学日历》按照学院统一格式制定。</w:t>
            </w:r>
          </w:p>
        </w:tc>
        <w:tc>
          <w:tcPr>
            <w:tcW w:w="743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526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13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课件/教案的设计和制作遵照《教学大纲》和《教学日历》的教学安排，如实反映《教学大纲》、《教学日历》内容。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课件的设计和制作能够做到详实、直观、形象、生动。教案的设计和制作能够做到详实。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trHeight w:val="517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15</w:t>
            </w:r>
          </w:p>
        </w:tc>
        <w:tc>
          <w:tcPr>
            <w:tcW w:w="5707" w:type="dxa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课件/教案随着《教学大纲》、教材及《教学日历》的更新而更新。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C40FA5" w:rsidRPr="006C26FF" w:rsidTr="00137686">
        <w:trPr>
          <w:jc w:val="center"/>
        </w:trPr>
        <w:tc>
          <w:tcPr>
            <w:tcW w:w="6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合计</w:t>
            </w:r>
          </w:p>
        </w:tc>
        <w:tc>
          <w:tcPr>
            <w:tcW w:w="2740" w:type="dxa"/>
            <w:gridSpan w:val="5"/>
            <w:tcBorders>
              <w:right w:val="single" w:sz="4" w:space="0" w:color="auto"/>
            </w:tcBorders>
            <w:vAlign w:val="center"/>
          </w:tcPr>
          <w:p w:rsidR="00C40FA5" w:rsidRPr="006C26FF" w:rsidRDefault="00C40FA5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C40FA5" w:rsidRPr="006C26FF" w:rsidRDefault="00C40FA5" w:rsidP="00C40FA5">
      <w:pPr>
        <w:spacing w:beforeLines="50" w:before="156"/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说明：本方案采取定量评价方法，总分为20分。</w:t>
      </w:r>
    </w:p>
    <w:p w:rsidR="00B70896" w:rsidRPr="00C40FA5" w:rsidRDefault="00C40FA5" w:rsidP="00C40FA5">
      <w:pPr>
        <w:ind w:firstLine="420"/>
      </w:pPr>
      <w:r w:rsidRPr="006C26FF">
        <w:rPr>
          <w:rFonts w:ascii="宋体" w:hAnsi="宋体" w:cs="Times New Roman"/>
          <w:sz w:val="21"/>
          <w:szCs w:val="21"/>
        </w:rPr>
        <w:t>总分计算：M=∑</w:t>
      </w:r>
      <w:proofErr w:type="spellStart"/>
      <w:r w:rsidRPr="006C26FF">
        <w:rPr>
          <w:rFonts w:ascii="宋体" w:hAnsi="宋体" w:cs="Times New Roman"/>
          <w:sz w:val="21"/>
          <w:szCs w:val="21"/>
        </w:rPr>
        <w:t>KiMi</w:t>
      </w:r>
      <w:proofErr w:type="spellEnd"/>
      <w:r w:rsidRPr="006C26FF">
        <w:rPr>
          <w:rFonts w:ascii="宋体" w:hAnsi="宋体" w:cs="Times New Roman"/>
          <w:sz w:val="21"/>
          <w:szCs w:val="21"/>
        </w:rPr>
        <w:t>；其中Ki为评分等级系数，A、B、C、D的四级对应系数分别为1.0、0.8、0.6、0.4；</w:t>
      </w:r>
      <w:proofErr w:type="spellStart"/>
      <w:r w:rsidRPr="006C26FF">
        <w:rPr>
          <w:rFonts w:ascii="宋体" w:hAnsi="宋体" w:cs="Times New Roman"/>
          <w:sz w:val="21"/>
          <w:szCs w:val="21"/>
        </w:rPr>
        <w:t>Mi</w:t>
      </w:r>
      <w:proofErr w:type="spellEnd"/>
      <w:r w:rsidRPr="006C26FF">
        <w:rPr>
          <w:rFonts w:ascii="宋体" w:hAnsi="宋体" w:cs="Times New Roman"/>
          <w:sz w:val="21"/>
          <w:szCs w:val="21"/>
        </w:rPr>
        <w:t>是各评价指标的分值。合计分数为教学文件部分得分。</w:t>
      </w:r>
      <w:bookmarkStart w:id="0" w:name="_GoBack"/>
      <w:bookmarkEnd w:id="0"/>
    </w:p>
    <w:sectPr w:rsidR="00B70896" w:rsidRPr="00C40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A3" w:rsidRDefault="002447A3" w:rsidP="002E20BF">
      <w:pPr>
        <w:spacing w:line="240" w:lineRule="auto"/>
        <w:ind w:firstLine="480"/>
      </w:pPr>
      <w:r>
        <w:separator/>
      </w:r>
    </w:p>
  </w:endnote>
  <w:endnote w:type="continuationSeparator" w:id="0">
    <w:p w:rsidR="002447A3" w:rsidRDefault="002447A3" w:rsidP="002E20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A3" w:rsidRDefault="002447A3" w:rsidP="002E20BF">
      <w:pPr>
        <w:spacing w:line="240" w:lineRule="auto"/>
        <w:ind w:firstLine="480"/>
      </w:pPr>
      <w:r>
        <w:separator/>
      </w:r>
    </w:p>
  </w:footnote>
  <w:footnote w:type="continuationSeparator" w:id="0">
    <w:p w:rsidR="002447A3" w:rsidRDefault="002447A3" w:rsidP="002E20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9"/>
    <w:rsid w:val="00153932"/>
    <w:rsid w:val="002447A3"/>
    <w:rsid w:val="002E20BF"/>
    <w:rsid w:val="006F1E42"/>
    <w:rsid w:val="008C6909"/>
    <w:rsid w:val="00940FBB"/>
    <w:rsid w:val="00B13CA8"/>
    <w:rsid w:val="00B70896"/>
    <w:rsid w:val="00BE2C51"/>
    <w:rsid w:val="00C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FD084-511F-4F03-ACE6-0667CA0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F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0B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neusoft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5</cp:revision>
  <dcterms:created xsi:type="dcterms:W3CDTF">2015-03-25T12:43:00Z</dcterms:created>
  <dcterms:modified xsi:type="dcterms:W3CDTF">2015-03-26T08:34:00Z</dcterms:modified>
</cp:coreProperties>
</file>