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F3" w:rsidRPr="006C26FF" w:rsidRDefault="007071F3" w:rsidP="007071F3">
      <w:pPr>
        <w:ind w:firstLine="482"/>
        <w:jc w:val="left"/>
        <w:rPr>
          <w:rFonts w:ascii="宋体" w:hAnsi="宋体" w:cs="Times New Roman"/>
          <w:b/>
        </w:rPr>
      </w:pPr>
      <w:r w:rsidRPr="006C26FF">
        <w:rPr>
          <w:rFonts w:ascii="宋体" w:hAnsi="宋体" w:cs="Times New Roman"/>
          <w:b/>
        </w:rPr>
        <w:t>研究生教学质量考评指标体系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7"/>
        <w:gridCol w:w="1217"/>
        <w:gridCol w:w="1255"/>
        <w:gridCol w:w="5643"/>
      </w:tblGrid>
      <w:tr w:rsidR="007071F3" w:rsidRPr="006C26FF" w:rsidTr="00137686">
        <w:trPr>
          <w:jc w:val="center"/>
        </w:trPr>
        <w:tc>
          <w:tcPr>
            <w:tcW w:w="1187" w:type="dxa"/>
            <w:tcBorders>
              <w:right w:val="single" w:sz="4" w:space="0" w:color="auto"/>
            </w:tcBorders>
            <w:vAlign w:val="center"/>
          </w:tcPr>
          <w:p w:rsidR="007071F3" w:rsidRPr="00C45F3C" w:rsidRDefault="007071F3" w:rsidP="00137686">
            <w:pPr>
              <w:ind w:firstLineChars="0" w:firstLine="0"/>
              <w:jc w:val="center"/>
              <w:rPr>
                <w:rFonts w:ascii="宋体" w:hAnsi="宋体" w:cs="Times New Roman"/>
                <w:sz w:val="21"/>
                <w:szCs w:val="21"/>
              </w:rPr>
            </w:pPr>
            <w:r w:rsidRPr="00C45F3C">
              <w:rPr>
                <w:rFonts w:ascii="宋体" w:hAnsi="宋体" w:cs="Times New Roman"/>
                <w:sz w:val="21"/>
                <w:szCs w:val="21"/>
              </w:rPr>
              <w:t>考核分类</w:t>
            </w:r>
          </w:p>
        </w:tc>
        <w:tc>
          <w:tcPr>
            <w:tcW w:w="1217" w:type="dxa"/>
            <w:tcBorders>
              <w:left w:val="single" w:sz="4" w:space="0" w:color="auto"/>
            </w:tcBorders>
            <w:vAlign w:val="center"/>
          </w:tcPr>
          <w:p w:rsidR="007071F3" w:rsidRPr="00C45F3C" w:rsidRDefault="007071F3" w:rsidP="00137686">
            <w:pPr>
              <w:ind w:firstLineChars="0" w:firstLine="0"/>
              <w:jc w:val="center"/>
              <w:rPr>
                <w:rFonts w:ascii="宋体" w:hAnsi="宋体" w:cs="Times New Roman"/>
                <w:sz w:val="21"/>
                <w:szCs w:val="21"/>
              </w:rPr>
            </w:pPr>
            <w:r w:rsidRPr="00C45F3C">
              <w:rPr>
                <w:rFonts w:ascii="宋体" w:hAnsi="宋体" w:cs="Times New Roman"/>
                <w:sz w:val="21"/>
                <w:szCs w:val="21"/>
              </w:rPr>
              <w:t>考核项目</w:t>
            </w:r>
          </w:p>
        </w:tc>
        <w:tc>
          <w:tcPr>
            <w:tcW w:w="1255" w:type="dxa"/>
            <w:vAlign w:val="center"/>
          </w:tcPr>
          <w:p w:rsidR="007071F3" w:rsidRPr="00C45F3C" w:rsidRDefault="007071F3" w:rsidP="00137686">
            <w:pPr>
              <w:ind w:firstLineChars="0" w:firstLine="0"/>
              <w:jc w:val="center"/>
              <w:rPr>
                <w:rFonts w:ascii="宋体" w:hAnsi="宋体" w:cs="Times New Roman"/>
                <w:sz w:val="21"/>
                <w:szCs w:val="21"/>
              </w:rPr>
            </w:pPr>
            <w:r w:rsidRPr="00C45F3C">
              <w:rPr>
                <w:rFonts w:ascii="宋体" w:hAnsi="宋体" w:cs="Times New Roman"/>
                <w:sz w:val="21"/>
                <w:szCs w:val="21"/>
              </w:rPr>
              <w:t>考核内容</w:t>
            </w:r>
          </w:p>
        </w:tc>
        <w:tc>
          <w:tcPr>
            <w:tcW w:w="5643" w:type="dxa"/>
            <w:tcBorders>
              <w:right w:val="single" w:sz="4" w:space="0" w:color="auto"/>
            </w:tcBorders>
            <w:vAlign w:val="center"/>
          </w:tcPr>
          <w:p w:rsidR="007071F3" w:rsidRPr="00C45F3C" w:rsidRDefault="007071F3" w:rsidP="00137686">
            <w:pPr>
              <w:ind w:firstLineChars="0" w:firstLine="0"/>
              <w:jc w:val="center"/>
              <w:rPr>
                <w:rFonts w:ascii="宋体" w:hAnsi="宋体" w:cs="Times New Roman"/>
                <w:sz w:val="21"/>
                <w:szCs w:val="21"/>
              </w:rPr>
            </w:pPr>
            <w:r w:rsidRPr="00C45F3C">
              <w:rPr>
                <w:rFonts w:ascii="宋体" w:hAnsi="宋体" w:cs="Times New Roman"/>
                <w:sz w:val="21"/>
                <w:szCs w:val="21"/>
              </w:rPr>
              <w:t>考核指标</w:t>
            </w:r>
          </w:p>
        </w:tc>
      </w:tr>
      <w:tr w:rsidR="007071F3" w:rsidRPr="006C26FF" w:rsidTr="00137686">
        <w:trPr>
          <w:trHeight w:val="416"/>
          <w:jc w:val="center"/>
        </w:trPr>
        <w:tc>
          <w:tcPr>
            <w:tcW w:w="1187" w:type="dxa"/>
            <w:vMerge w:val="restart"/>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1．教学文件(20分)</w:t>
            </w:r>
          </w:p>
        </w:tc>
        <w:tc>
          <w:tcPr>
            <w:tcW w:w="1217" w:type="dxa"/>
            <w:vMerge w:val="restart"/>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《教学大纲》(6)</w:t>
            </w: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1．《教学大纲》的内容及质量要求(2)</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1．内容应包括：课程开设的目的、教学内容的范围和所占比例、时间分配和教学进度；反映课程学术观点以及教学深度、重点和难点；反映课题主线、知识结构以及实施环节。</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对于工学硕士和全日制工程硕士应在指导思想和教学内容上加以区分。在将课程基本内容和体系阐述清楚的基础上，对工学硕士应侧重学术和科研方面的引导；对全日制工程硕士应突出生产实际中的问题及解决方法等方面的传授。</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3．应附指定教材或参考资料和文献部分（具体要求参见“教材”部分）。</w:t>
            </w:r>
          </w:p>
        </w:tc>
      </w:tr>
      <w:tr w:rsidR="007071F3" w:rsidRPr="006C26FF" w:rsidTr="00137686">
        <w:trPr>
          <w:trHeight w:val="379"/>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2．更新(2)</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使用期原则上不超过5年，逾期需要重新修订，不需要修订，必须提供不修订说明。</w:t>
            </w:r>
          </w:p>
        </w:tc>
      </w:tr>
      <w:tr w:rsidR="007071F3" w:rsidRPr="006C26FF" w:rsidTr="00137686">
        <w:trPr>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 xml:space="preserve">3．格式的规范(2) </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1．须按照学院统一格式制定。</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2．完成后，由研究生所长签字确认。</w:t>
            </w:r>
          </w:p>
        </w:tc>
      </w:tr>
      <w:tr w:rsidR="007071F3" w:rsidRPr="006C26FF" w:rsidTr="00137686">
        <w:trPr>
          <w:trHeight w:val="3076"/>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val="restart"/>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教材(5)</w:t>
            </w: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1．教材、参考资料的选择和指定(3)</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1．教材的选择应考虑其与《教学大纲》中设定的课程目标的契合性及教材的科学性、权威性。</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2．为完善或拓展课程内容，课程负责人应指定一定数量的参考资料和文献，参考资料和文献必须兼具科学性、权威性、前沿性，具有较高的参考价值。</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3．如课程涉及领域尚无合适教材，课程负责人必须为该课程指定20篇以上能基本覆盖该课程领域的参考资料和文献，其中必须包含介绍课程相关领域研究现状的综述性质资料。</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4．授课教师完成《</w:t>
            </w:r>
            <w:r w:rsidRPr="006C26FF">
              <w:rPr>
                <w:rFonts w:ascii="宋体" w:hAnsi="宋体" w:cs="Times New Roman"/>
                <w:sz w:val="21"/>
                <w:szCs w:val="21"/>
                <w:u w:val="single"/>
              </w:rPr>
              <w:t>××</w:t>
            </w:r>
            <w:r w:rsidRPr="006C26FF">
              <w:rPr>
                <w:rFonts w:ascii="宋体" w:hAnsi="宋体" w:cs="Times New Roman"/>
                <w:sz w:val="21"/>
                <w:szCs w:val="21"/>
              </w:rPr>
              <w:t>课程教材与参考资料选择自评报告》，必须每五年提交更新说明。</w:t>
            </w:r>
          </w:p>
        </w:tc>
      </w:tr>
      <w:tr w:rsidR="007071F3" w:rsidRPr="006C26FF" w:rsidTr="00137686">
        <w:trPr>
          <w:trHeight w:val="938"/>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2．教材、参考资料的更新(2)</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1．教材的更新应与该领域知识的更新同步。</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2．指定的参考资料和文献中，必须有一定比例的最新参考资料和文献，并定期更新。</w:t>
            </w:r>
          </w:p>
        </w:tc>
      </w:tr>
      <w:tr w:rsidR="007071F3" w:rsidRPr="006C26FF" w:rsidTr="00137686">
        <w:trPr>
          <w:trHeight w:val="2114"/>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val="restart"/>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《教学日历》(4)</w:t>
            </w: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1．质量要求(2)</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1．严格遵照《教学大纲》设计教学进度，并与指定教材内容紧密结合。</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2．教学安排遵循知识点内在逻辑性，主次分明，重点突出。</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3．体现工学硕士和全日制工程硕士教学安排上的区别。</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4．章节名称完整，课程内容详尽。</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5．除常规的教学内容外，结课时应安排课程总结、讨论和答疑等内容。</w:t>
            </w:r>
          </w:p>
        </w:tc>
      </w:tr>
      <w:tr w:rsidR="007071F3" w:rsidRPr="006C26FF" w:rsidTr="00137686">
        <w:trPr>
          <w:trHeight w:val="940"/>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2．《教学日历》的更新(1)</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1．必须以《教学大纲》为制定依据，《教学大纲》如有更新，《教学日历》内容必须随之进行更新。</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2．必须遵照校历的时间安排。</w:t>
            </w:r>
          </w:p>
        </w:tc>
      </w:tr>
      <w:tr w:rsidR="007071F3" w:rsidRPr="006C26FF" w:rsidTr="00137686">
        <w:trPr>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3．格式的规范(1)</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1．须按照学院统一格式制定。</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2．完成后，由研究生所长签字确认。</w:t>
            </w:r>
          </w:p>
        </w:tc>
      </w:tr>
      <w:tr w:rsidR="007071F3" w:rsidRPr="006C26FF" w:rsidTr="00137686">
        <w:trPr>
          <w:trHeight w:val="936"/>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val="restart"/>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教学课件/教案(5)</w:t>
            </w: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1．质量要求(3)</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1．课件/教案的设计和制作必须遵照《教学大纲》、《教学日历》。</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2．在如实反映《教学大纲》、《教学日历》内容的前提下，力求详实、直观、形象、生动地将知识传达给学生。</w:t>
            </w:r>
          </w:p>
        </w:tc>
      </w:tr>
      <w:tr w:rsidR="007071F3" w:rsidRPr="006C26FF" w:rsidTr="00137686">
        <w:trPr>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2．更新(2)</w:t>
            </w:r>
          </w:p>
        </w:tc>
        <w:tc>
          <w:tcPr>
            <w:tcW w:w="5643" w:type="dxa"/>
            <w:tcBorders>
              <w:right w:val="single" w:sz="4" w:space="0" w:color="auto"/>
            </w:tcBorders>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1．课件/教案应随着《教学大纲》、教材及《教学日历》的更新而更新。</w:t>
            </w:r>
          </w:p>
        </w:tc>
      </w:tr>
      <w:tr w:rsidR="007071F3" w:rsidRPr="006C26FF" w:rsidTr="00137686">
        <w:trPr>
          <w:trHeight w:val="934"/>
          <w:jc w:val="center"/>
        </w:trPr>
        <w:tc>
          <w:tcPr>
            <w:tcW w:w="1187" w:type="dxa"/>
            <w:vMerge w:val="restart"/>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2．教学过程(15分)</w:t>
            </w:r>
          </w:p>
        </w:tc>
        <w:tc>
          <w:tcPr>
            <w:tcW w:w="1217" w:type="dxa"/>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教学规范(3)</w:t>
            </w:r>
          </w:p>
        </w:tc>
        <w:tc>
          <w:tcPr>
            <w:tcW w:w="1255"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教学文件的执行</w:t>
            </w:r>
          </w:p>
        </w:tc>
        <w:tc>
          <w:tcPr>
            <w:tcW w:w="5643" w:type="dxa"/>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1．教学内容必须与教材和参考资料的内容紧密结合。</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2．遵照预先制定《教学日历》的进度安排讲授，教学内容的学时安排与教学日历偏差不超过40%。</w:t>
            </w:r>
          </w:p>
        </w:tc>
      </w:tr>
      <w:tr w:rsidR="007071F3" w:rsidRPr="006C26FF" w:rsidTr="00137686">
        <w:trPr>
          <w:trHeight w:val="1258"/>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val="restart"/>
            <w:tcBorders>
              <w:left w:val="single" w:sz="4" w:space="0" w:color="auto"/>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教学纪律(12)</w:t>
            </w:r>
          </w:p>
        </w:tc>
        <w:tc>
          <w:tcPr>
            <w:tcW w:w="1255" w:type="dxa"/>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1.课程时间的遵守(4)</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1．以课表时间为准，授课教师必须严格遵守上、下课时间，不得上课迟到或提前下课。</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2．如确需进行停课、补课、</w:t>
            </w:r>
            <w:proofErr w:type="gramStart"/>
            <w:r w:rsidRPr="006C26FF">
              <w:rPr>
                <w:rFonts w:ascii="宋体" w:hAnsi="宋体" w:cs="Times New Roman"/>
                <w:sz w:val="21"/>
                <w:szCs w:val="21"/>
              </w:rPr>
              <w:t>调串课</w:t>
            </w:r>
            <w:proofErr w:type="gramEnd"/>
            <w:r w:rsidRPr="006C26FF">
              <w:rPr>
                <w:rFonts w:ascii="宋体" w:hAnsi="宋体" w:cs="Times New Roman"/>
                <w:sz w:val="21"/>
                <w:szCs w:val="21"/>
              </w:rPr>
              <w:t>，授课教师必须按学院文件的要求正常办理相关手续，学院批准后方能生效。若</w:t>
            </w:r>
            <w:r w:rsidRPr="006C26FF">
              <w:rPr>
                <w:rFonts w:ascii="宋体" w:hAnsi="宋体" w:cs="Times New Roman"/>
                <w:sz w:val="21"/>
                <w:szCs w:val="21"/>
              </w:rPr>
              <w:lastRenderedPageBreak/>
              <w:t>遇突发事件必须及时电话告知</w:t>
            </w:r>
            <w:proofErr w:type="gramStart"/>
            <w:r w:rsidRPr="006C26FF">
              <w:rPr>
                <w:rFonts w:ascii="宋体" w:hAnsi="宋体" w:cs="Times New Roman"/>
                <w:sz w:val="21"/>
                <w:szCs w:val="21"/>
              </w:rPr>
              <w:t>教学办原由</w:t>
            </w:r>
            <w:proofErr w:type="gramEnd"/>
            <w:r w:rsidRPr="006C26FF">
              <w:rPr>
                <w:rFonts w:ascii="宋体" w:hAnsi="宋体" w:cs="Times New Roman"/>
                <w:sz w:val="21"/>
                <w:szCs w:val="21"/>
              </w:rPr>
              <w:t>，由</w:t>
            </w:r>
            <w:proofErr w:type="gramStart"/>
            <w:r w:rsidRPr="006C26FF">
              <w:rPr>
                <w:rFonts w:ascii="宋体" w:hAnsi="宋体" w:cs="Times New Roman"/>
                <w:sz w:val="21"/>
                <w:szCs w:val="21"/>
              </w:rPr>
              <w:t>教学办</w:t>
            </w:r>
            <w:proofErr w:type="gramEnd"/>
            <w:r w:rsidRPr="006C26FF">
              <w:rPr>
                <w:rFonts w:ascii="宋体" w:hAnsi="宋体" w:cs="Times New Roman"/>
                <w:sz w:val="21"/>
                <w:szCs w:val="21"/>
              </w:rPr>
              <w:t>处理紧急情况。</w:t>
            </w:r>
          </w:p>
        </w:tc>
      </w:tr>
      <w:tr w:rsidR="007071F3" w:rsidRPr="006C26FF" w:rsidTr="00137686">
        <w:trPr>
          <w:trHeight w:val="1872"/>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tcBorders>
              <w:left w:val="single" w:sz="4" w:space="0" w:color="auto"/>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55" w:type="dxa"/>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2．课堂秩序的维护(4)</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1．授课教师课前应将携带的手机等通讯工具关闭或调成静音，以防打断正常的教学。授课过程中不得接听电话或接待来访人员。</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2．授课教师应维护正常的课堂教学秩序，确保学生听课质量。及时制止违反课堂纪律的学生，不得任由破坏课堂秩序的行为发生。</w:t>
            </w:r>
          </w:p>
        </w:tc>
      </w:tr>
      <w:tr w:rsidR="007071F3" w:rsidRPr="006C26FF" w:rsidTr="00137686">
        <w:trPr>
          <w:trHeight w:val="1560"/>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17" w:type="dxa"/>
            <w:vMerge/>
            <w:tcBorders>
              <w:left w:val="single" w:sz="4" w:space="0" w:color="auto"/>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1255" w:type="dxa"/>
            <w:tcBorders>
              <w:left w:val="single" w:sz="4" w:space="0" w:color="auto"/>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3．</w:t>
            </w:r>
            <w:proofErr w:type="gramStart"/>
            <w:r w:rsidRPr="006C26FF">
              <w:rPr>
                <w:rFonts w:ascii="宋体" w:hAnsi="宋体" w:cs="Times New Roman"/>
                <w:sz w:val="21"/>
                <w:szCs w:val="21"/>
              </w:rPr>
              <w:t>结课成绩</w:t>
            </w:r>
            <w:proofErr w:type="gramEnd"/>
            <w:r w:rsidRPr="006C26FF">
              <w:rPr>
                <w:rFonts w:ascii="宋体" w:hAnsi="宋体" w:cs="Times New Roman"/>
                <w:sz w:val="21"/>
                <w:szCs w:val="21"/>
              </w:rPr>
              <w:t>和试卷报送(4)</w:t>
            </w:r>
          </w:p>
        </w:tc>
        <w:tc>
          <w:tcPr>
            <w:tcW w:w="5643" w:type="dxa"/>
            <w:tcBorders>
              <w:left w:val="single" w:sz="4" w:space="0" w:color="auto"/>
            </w:tcBorders>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1．</w:t>
            </w:r>
            <w:proofErr w:type="gramStart"/>
            <w:r w:rsidRPr="006C26FF">
              <w:rPr>
                <w:rFonts w:ascii="宋体" w:hAnsi="宋体" w:cs="Times New Roman"/>
                <w:sz w:val="21"/>
                <w:szCs w:val="21"/>
              </w:rPr>
              <w:t>结课成绩</w:t>
            </w:r>
            <w:proofErr w:type="gramEnd"/>
            <w:r w:rsidRPr="006C26FF">
              <w:rPr>
                <w:rFonts w:ascii="宋体" w:hAnsi="宋体" w:cs="Times New Roman"/>
                <w:sz w:val="21"/>
                <w:szCs w:val="21"/>
              </w:rPr>
              <w:t>和试卷需在研究生院和学院研究生</w:t>
            </w:r>
            <w:proofErr w:type="gramStart"/>
            <w:r w:rsidRPr="006C26FF">
              <w:rPr>
                <w:rFonts w:ascii="宋体" w:hAnsi="宋体" w:cs="Times New Roman"/>
                <w:sz w:val="21"/>
                <w:szCs w:val="21"/>
              </w:rPr>
              <w:t>教学办</w:t>
            </w:r>
            <w:proofErr w:type="gramEnd"/>
            <w:r w:rsidRPr="006C26FF">
              <w:rPr>
                <w:rFonts w:ascii="宋体" w:hAnsi="宋体" w:cs="Times New Roman"/>
                <w:sz w:val="21"/>
                <w:szCs w:val="21"/>
              </w:rPr>
              <w:t>要求的时间内报送。</w:t>
            </w:r>
          </w:p>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2．授课教师报送承担课程成绩前必须仔细核查，确保上课人员名单和成绩计算无误后方可向研究生院网上办公系统上传。</w:t>
            </w:r>
          </w:p>
        </w:tc>
      </w:tr>
      <w:tr w:rsidR="007071F3" w:rsidRPr="006C26FF" w:rsidTr="00137686">
        <w:trPr>
          <w:trHeight w:val="634"/>
          <w:jc w:val="center"/>
        </w:trPr>
        <w:tc>
          <w:tcPr>
            <w:tcW w:w="1187" w:type="dxa"/>
            <w:vMerge w:val="restart"/>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3．教学效果(50分)</w:t>
            </w:r>
          </w:p>
        </w:tc>
        <w:tc>
          <w:tcPr>
            <w:tcW w:w="2472" w:type="dxa"/>
            <w:gridSpan w:val="2"/>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学生评价(40)</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学生通过课程的学习，对教学效果进行打分。各项指标参见《研究生课程教学质量学生评价表》。</w:t>
            </w:r>
          </w:p>
        </w:tc>
      </w:tr>
      <w:tr w:rsidR="007071F3" w:rsidRPr="006C26FF" w:rsidTr="00137686">
        <w:trPr>
          <w:jc w:val="center"/>
        </w:trPr>
        <w:tc>
          <w:tcPr>
            <w:tcW w:w="1187" w:type="dxa"/>
            <w:vMerge/>
            <w:tcBorders>
              <w:righ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p>
        </w:tc>
        <w:tc>
          <w:tcPr>
            <w:tcW w:w="2472" w:type="dxa"/>
            <w:gridSpan w:val="2"/>
            <w:tcBorders>
              <w:left w:val="single" w:sz="4" w:space="0" w:color="auto"/>
            </w:tcBorders>
            <w:vAlign w:val="center"/>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督导评价(10)</w:t>
            </w:r>
          </w:p>
        </w:tc>
        <w:tc>
          <w:tcPr>
            <w:tcW w:w="5643" w:type="dxa"/>
          </w:tcPr>
          <w:p w:rsidR="007071F3" w:rsidRPr="006C26FF" w:rsidRDefault="007071F3" w:rsidP="00137686">
            <w:pPr>
              <w:ind w:firstLineChars="0" w:firstLine="0"/>
              <w:jc w:val="left"/>
              <w:rPr>
                <w:rFonts w:ascii="宋体" w:hAnsi="宋体" w:cs="Times New Roman"/>
                <w:sz w:val="21"/>
                <w:szCs w:val="21"/>
              </w:rPr>
            </w:pPr>
            <w:r w:rsidRPr="006C26FF">
              <w:rPr>
                <w:rFonts w:ascii="宋体" w:hAnsi="宋体" w:cs="Times New Roman"/>
                <w:sz w:val="21"/>
                <w:szCs w:val="21"/>
              </w:rPr>
              <w:t>督导通过听课，对教学效果进行打分。各项指标参见《研究生课程教学质量督导评价表》。</w:t>
            </w:r>
          </w:p>
        </w:tc>
      </w:tr>
    </w:tbl>
    <w:p w:rsidR="00B70896" w:rsidRPr="007071F3" w:rsidRDefault="00B70896" w:rsidP="007071F3">
      <w:pPr>
        <w:ind w:firstLine="480"/>
      </w:pPr>
      <w:bookmarkStart w:id="0" w:name="_GoBack"/>
      <w:bookmarkEnd w:id="0"/>
    </w:p>
    <w:sectPr w:rsidR="00B70896" w:rsidRPr="007071F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4C1" w:rsidRDefault="008F04C1" w:rsidP="007E26A8">
      <w:pPr>
        <w:spacing w:line="240" w:lineRule="auto"/>
        <w:ind w:firstLine="480"/>
      </w:pPr>
      <w:r>
        <w:separator/>
      </w:r>
    </w:p>
  </w:endnote>
  <w:endnote w:type="continuationSeparator" w:id="0">
    <w:p w:rsidR="008F04C1" w:rsidRDefault="008F04C1" w:rsidP="007E26A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Tiger Exper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4C1" w:rsidRDefault="008F04C1" w:rsidP="007E26A8">
      <w:pPr>
        <w:spacing w:line="240" w:lineRule="auto"/>
        <w:ind w:firstLine="480"/>
      </w:pPr>
      <w:r>
        <w:separator/>
      </w:r>
    </w:p>
  </w:footnote>
  <w:footnote w:type="continuationSeparator" w:id="0">
    <w:p w:rsidR="008F04C1" w:rsidRDefault="008F04C1" w:rsidP="007E26A8">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43F62"/>
    <w:multiLevelType w:val="multilevel"/>
    <w:tmpl w:val="43543F62"/>
    <w:lvl w:ilvl="0">
      <w:start w:val="1"/>
      <w:numFmt w:val="lowerLetter"/>
      <w:lvlText w:val="(%1)"/>
      <w:lvlJc w:val="left"/>
      <w:pPr>
        <w:tabs>
          <w:tab w:val="num" w:pos="960"/>
        </w:tabs>
        <w:ind w:left="960" w:hanging="480"/>
      </w:pPr>
      <w:rPr>
        <w:rFonts w:hint="default"/>
      </w:rPr>
    </w:lvl>
    <w:lvl w:ilvl="1">
      <w:start w:val="1"/>
      <w:numFmt w:val="bullet"/>
      <w:lvlText w:val=""/>
      <w:lvlJc w:val="left"/>
      <w:pPr>
        <w:tabs>
          <w:tab w:val="num" w:pos="1320"/>
        </w:tabs>
        <w:ind w:left="1320" w:hanging="420"/>
      </w:pPr>
      <w:rPr>
        <w:rFonts w:ascii="Wingdings" w:hAnsi="Wingding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D5"/>
    <w:rsid w:val="00082C6C"/>
    <w:rsid w:val="000B2506"/>
    <w:rsid w:val="001B47A6"/>
    <w:rsid w:val="007071F3"/>
    <w:rsid w:val="00723151"/>
    <w:rsid w:val="007E26A8"/>
    <w:rsid w:val="008F04C1"/>
    <w:rsid w:val="00B21A0B"/>
    <w:rsid w:val="00B70896"/>
    <w:rsid w:val="00DE35CD"/>
    <w:rsid w:val="00F33ED5"/>
    <w:rsid w:val="00FC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F443D3-35D5-4B0A-8150-2525A57F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A8"/>
    <w:pPr>
      <w:widowControl w:val="0"/>
      <w:spacing w:line="360" w:lineRule="auto"/>
      <w:ind w:firstLineChars="200" w:firstLine="200"/>
      <w:jc w:val="both"/>
    </w:pPr>
    <w:rPr>
      <w:rFonts w:ascii="Symbol Tiger Expert" w:eastAsia="宋体" w:hAnsi="Symbol Tiger Expert" w:cs="Symbol Tiger Exper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6A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26A8"/>
    <w:rPr>
      <w:sz w:val="18"/>
      <w:szCs w:val="18"/>
    </w:rPr>
  </w:style>
  <w:style w:type="paragraph" w:styleId="a4">
    <w:name w:val="footer"/>
    <w:basedOn w:val="a"/>
    <w:link w:val="Char0"/>
    <w:uiPriority w:val="99"/>
    <w:unhideWhenUsed/>
    <w:rsid w:val="007E26A8"/>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26A8"/>
    <w:rPr>
      <w:sz w:val="18"/>
      <w:szCs w:val="18"/>
    </w:rPr>
  </w:style>
  <w:style w:type="paragraph" w:customStyle="1" w:styleId="p0">
    <w:name w:val="p0"/>
    <w:basedOn w:val="a"/>
    <w:rsid w:val="007E26A8"/>
    <w:pPr>
      <w:widowControl/>
      <w:spacing w:before="100" w:beforeAutospacing="1" w:after="100" w:afterAutospacing="1" w:line="240" w:lineRule="auto"/>
      <w:jc w:val="left"/>
    </w:pPr>
    <w:rPr>
      <w:rFonts w:ascii="Cambria" w:hAnsi="Cambria" w:cs="Cambria"/>
      <w:kern w:val="0"/>
    </w:rPr>
  </w:style>
  <w:style w:type="character" w:customStyle="1" w:styleId="Char1">
    <w:name w:val="正文文本 Char"/>
    <w:link w:val="a5"/>
    <w:rsid w:val="001B47A6"/>
    <w:rPr>
      <w:rFonts w:eastAsia="宋体" w:cs="Symbol Tiger Expert"/>
      <w:sz w:val="24"/>
    </w:rPr>
  </w:style>
  <w:style w:type="paragraph" w:styleId="a5">
    <w:name w:val="Body Text"/>
    <w:basedOn w:val="a"/>
    <w:link w:val="Char1"/>
    <w:rsid w:val="001B47A6"/>
    <w:pPr>
      <w:spacing w:after="120"/>
    </w:pPr>
    <w:rPr>
      <w:rFonts w:asciiTheme="minorHAnsi" w:hAnsiTheme="minorHAnsi"/>
      <w:szCs w:val="22"/>
    </w:rPr>
  </w:style>
  <w:style w:type="character" w:customStyle="1" w:styleId="Char10">
    <w:name w:val="正文文本 Char1"/>
    <w:basedOn w:val="a0"/>
    <w:uiPriority w:val="99"/>
    <w:semiHidden/>
    <w:rsid w:val="001B47A6"/>
    <w:rPr>
      <w:rFonts w:ascii="Symbol Tiger Expert" w:eastAsia="宋体" w:hAnsi="Symbol Tiger Expert" w:cs="Symbol Tiger Exper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1507</Characters>
  <Application>Microsoft Office Word</Application>
  <DocSecurity>0</DocSecurity>
  <Lines>12</Lines>
  <Paragraphs>3</Paragraphs>
  <ScaleCrop>false</ScaleCrop>
  <Company>neusoft</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张嵩</dc:creator>
  <cp:keywords/>
  <dc:description/>
  <cp:lastModifiedBy>张嵩</cp:lastModifiedBy>
  <cp:revision>6</cp:revision>
  <dcterms:created xsi:type="dcterms:W3CDTF">2015-03-25T12:42:00Z</dcterms:created>
  <dcterms:modified xsi:type="dcterms:W3CDTF">2015-03-26T08:33:00Z</dcterms:modified>
</cp:coreProperties>
</file>